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BE6" w:rsidRPr="00105BE6" w:rsidRDefault="00105BE6" w:rsidP="00105BE6">
      <w:pPr>
        <w:shd w:val="clear" w:color="auto" w:fill="FFFFFF"/>
        <w:spacing w:before="0" w:after="90" w:line="330" w:lineRule="atLeast"/>
        <w:textAlignment w:val="baseline"/>
        <w:outlineLvl w:val="1"/>
        <w:rPr>
          <w:rFonts w:ascii="Arial" w:eastAsia="Times New Roman" w:hAnsi="Arial" w:cs="Arial"/>
          <w:color w:val="003964"/>
          <w:sz w:val="48"/>
          <w:szCs w:val="48"/>
          <w:lang w:val="ru-RU" w:eastAsia="ru-RU" w:bidi="ar-SA"/>
        </w:rPr>
      </w:pPr>
      <w:r w:rsidRPr="00105BE6">
        <w:rPr>
          <w:rFonts w:ascii="Arial" w:eastAsia="Times New Roman" w:hAnsi="Arial" w:cs="Arial"/>
          <w:color w:val="003964"/>
          <w:sz w:val="48"/>
          <w:szCs w:val="48"/>
          <w:lang w:val="ru-RU" w:eastAsia="ru-RU" w:bidi="ar-SA"/>
        </w:rPr>
        <w:t>Таблица нормативов ГТО 2014</w:t>
      </w:r>
    </w:p>
    <w:p w:rsidR="00105BE6" w:rsidRPr="00105BE6" w:rsidRDefault="00105BE6" w:rsidP="00105BE6">
      <w:pPr>
        <w:shd w:val="clear" w:color="auto" w:fill="FFFFFF"/>
        <w:spacing w:before="0" w:after="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В 2014 г. Правительство РФ разработало и приняло ряд документов, направленных на воссоздание комплекса ГТО: Постановление Правительства РФ № 540, Положение о ГТО, Указ Президента о ГТО.</w:t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В этих документах определены цели, задачи, принципы, содержание, структура и методика внедрения комплекса ГТО.</w:t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b/>
          <w:bCs/>
          <w:color w:val="222222"/>
          <w:sz w:val="21"/>
          <w:lang w:val="ru-RU" w:eastAsia="ru-RU" w:bidi="ar-SA"/>
        </w:rPr>
        <w:t>Цель комплекса ГТО</w:t>
      </w:r>
      <w:r w:rsidRPr="00105BE6">
        <w:rPr>
          <w:rFonts w:ascii="inherit" w:eastAsia="Times New Roman" w:hAnsi="inherit" w:cs="Arial"/>
          <w:color w:val="222222"/>
          <w:sz w:val="21"/>
          <w:lang w:val="ru-RU" w:eastAsia="ru-RU" w:bidi="ar-SA"/>
        </w:rPr>
        <w:t> </w:t>
      </w: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– увеличение продолжительности жизни населения с помощью систематической физической подготовки.</w:t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b/>
          <w:bCs/>
          <w:color w:val="222222"/>
          <w:sz w:val="21"/>
          <w:lang w:val="ru-RU" w:eastAsia="ru-RU" w:bidi="ar-SA"/>
        </w:rPr>
        <w:t>Задача</w:t>
      </w:r>
      <w:r w:rsidRPr="00105BE6">
        <w:rPr>
          <w:rFonts w:ascii="inherit" w:eastAsia="Times New Roman" w:hAnsi="inherit" w:cs="Arial"/>
          <w:color w:val="222222"/>
          <w:sz w:val="21"/>
          <w:lang w:val="ru-RU" w:eastAsia="ru-RU" w:bidi="ar-SA"/>
        </w:rPr>
        <w:t> </w:t>
      </w: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– массовое внедрение комплекса ГТО, охват системой подготовки всех возрастных групп населения.</w:t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b/>
          <w:bCs/>
          <w:color w:val="222222"/>
          <w:sz w:val="21"/>
          <w:lang w:val="ru-RU" w:eastAsia="ru-RU" w:bidi="ar-SA"/>
        </w:rPr>
        <w:t>Принципы</w:t>
      </w:r>
      <w:r w:rsidRPr="00105BE6">
        <w:rPr>
          <w:rFonts w:ascii="inherit" w:eastAsia="Times New Roman" w:hAnsi="inherit" w:cs="Arial"/>
          <w:color w:val="222222"/>
          <w:sz w:val="21"/>
          <w:lang w:val="ru-RU" w:eastAsia="ru-RU" w:bidi="ar-SA"/>
        </w:rPr>
        <w:t> </w:t>
      </w: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– добровольность и доступность системы подготовки для всех слоев населения, медицинский контроль, учет местных традиций и особенностей.</w:t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b/>
          <w:bCs/>
          <w:color w:val="222222"/>
          <w:sz w:val="21"/>
          <w:lang w:val="ru-RU" w:eastAsia="ru-RU" w:bidi="ar-SA"/>
        </w:rPr>
        <w:t>Содержание комплекса</w:t>
      </w:r>
      <w:r w:rsidRPr="00105BE6">
        <w:rPr>
          <w:rFonts w:ascii="inherit" w:eastAsia="Times New Roman" w:hAnsi="inherit" w:cs="Arial"/>
          <w:color w:val="222222"/>
          <w:sz w:val="21"/>
          <w:lang w:val="ru-RU" w:eastAsia="ru-RU" w:bidi="ar-SA"/>
        </w:rPr>
        <w:t> </w:t>
      </w: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– нормативы ГТО и спортивных разрядов, система тестирования, рекомендации по особенностям двигательного режима для различных групп.</w:t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Структура комплекса включает 11 ступеней, для каждой из которых установлены виды испытаний и нормативы их выполнения для права получения в первых семи из них бронзового, серебряного или золотого знака и без вручения знака в остальных четырех в зависимости от пола и возраста. Кроме того, для каждой ступени определены необходимые знания, умения и рекомендации к двигательному режиму.</w:t>
      </w:r>
    </w:p>
    <w:p w:rsidR="00105BE6" w:rsidRPr="00105BE6" w:rsidRDefault="00105BE6" w:rsidP="00105BE6">
      <w:pPr>
        <w:numPr>
          <w:ilvl w:val="0"/>
          <w:numId w:val="1"/>
        </w:numPr>
        <w:shd w:val="clear" w:color="auto" w:fill="FFFFFF"/>
        <w:spacing w:before="0"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Мальчики и девочки от 6 до 8 лет.</w:t>
      </w:r>
    </w:p>
    <w:p w:rsidR="00105BE6" w:rsidRPr="00105BE6" w:rsidRDefault="00105BE6" w:rsidP="00105BE6">
      <w:pPr>
        <w:numPr>
          <w:ilvl w:val="0"/>
          <w:numId w:val="1"/>
        </w:numPr>
        <w:shd w:val="clear" w:color="auto" w:fill="FFFFFF"/>
        <w:spacing w:before="0"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То же от 9 до 10 лет.</w:t>
      </w:r>
    </w:p>
    <w:p w:rsidR="00105BE6" w:rsidRPr="00105BE6" w:rsidRDefault="00105BE6" w:rsidP="00105BE6">
      <w:pPr>
        <w:numPr>
          <w:ilvl w:val="0"/>
          <w:numId w:val="1"/>
        </w:numPr>
        <w:shd w:val="clear" w:color="auto" w:fill="FFFFFF"/>
        <w:spacing w:before="0"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То же от 11 до 12 лет.</w:t>
      </w:r>
    </w:p>
    <w:p w:rsidR="00105BE6" w:rsidRPr="00105BE6" w:rsidRDefault="00105BE6" w:rsidP="00105BE6">
      <w:pPr>
        <w:numPr>
          <w:ilvl w:val="0"/>
          <w:numId w:val="1"/>
        </w:numPr>
        <w:shd w:val="clear" w:color="auto" w:fill="FFFFFF"/>
        <w:spacing w:before="0"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Юноши и девушки от 13 до 15 лет.</w:t>
      </w:r>
    </w:p>
    <w:p w:rsidR="00105BE6" w:rsidRPr="00105BE6" w:rsidRDefault="00105BE6" w:rsidP="00105BE6">
      <w:pPr>
        <w:numPr>
          <w:ilvl w:val="0"/>
          <w:numId w:val="1"/>
        </w:numPr>
        <w:shd w:val="clear" w:color="auto" w:fill="FFFFFF"/>
        <w:spacing w:before="0"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То же от 16 до 17 лет.</w:t>
      </w:r>
    </w:p>
    <w:p w:rsidR="00105BE6" w:rsidRPr="00105BE6" w:rsidRDefault="00105BE6" w:rsidP="00105BE6">
      <w:pPr>
        <w:numPr>
          <w:ilvl w:val="0"/>
          <w:numId w:val="1"/>
        </w:numPr>
        <w:shd w:val="clear" w:color="auto" w:fill="FFFFFF"/>
        <w:spacing w:before="0"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Мужчины и женщины от 18 до 29 лет.</w:t>
      </w:r>
    </w:p>
    <w:p w:rsidR="00105BE6" w:rsidRPr="00105BE6" w:rsidRDefault="00105BE6" w:rsidP="00105BE6">
      <w:pPr>
        <w:numPr>
          <w:ilvl w:val="0"/>
          <w:numId w:val="1"/>
        </w:numPr>
        <w:shd w:val="clear" w:color="auto" w:fill="FFFFFF"/>
        <w:spacing w:before="0"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То же от 30 до 39 лет.</w:t>
      </w:r>
    </w:p>
    <w:p w:rsidR="00105BE6" w:rsidRPr="00105BE6" w:rsidRDefault="00105BE6" w:rsidP="00105BE6">
      <w:pPr>
        <w:numPr>
          <w:ilvl w:val="0"/>
          <w:numId w:val="1"/>
        </w:numPr>
        <w:shd w:val="clear" w:color="auto" w:fill="FFFFFF"/>
        <w:spacing w:before="0"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То же от 40 до 49 лет.</w:t>
      </w:r>
    </w:p>
    <w:p w:rsidR="00105BE6" w:rsidRPr="00105BE6" w:rsidRDefault="00105BE6" w:rsidP="00105BE6">
      <w:pPr>
        <w:numPr>
          <w:ilvl w:val="0"/>
          <w:numId w:val="1"/>
        </w:numPr>
        <w:shd w:val="clear" w:color="auto" w:fill="FFFFFF"/>
        <w:spacing w:before="0"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То же от 50 до 59 лет.</w:t>
      </w:r>
    </w:p>
    <w:p w:rsidR="00105BE6" w:rsidRPr="00105BE6" w:rsidRDefault="00105BE6" w:rsidP="00105BE6">
      <w:pPr>
        <w:numPr>
          <w:ilvl w:val="0"/>
          <w:numId w:val="1"/>
        </w:numPr>
        <w:shd w:val="clear" w:color="auto" w:fill="FFFFFF"/>
        <w:spacing w:before="0"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То же от 60 до 69 лет.</w:t>
      </w:r>
    </w:p>
    <w:p w:rsidR="00105BE6" w:rsidRPr="00105BE6" w:rsidRDefault="00105BE6" w:rsidP="00105BE6">
      <w:pPr>
        <w:numPr>
          <w:ilvl w:val="0"/>
          <w:numId w:val="1"/>
        </w:numPr>
        <w:shd w:val="clear" w:color="auto" w:fill="FFFFFF"/>
        <w:spacing w:before="0"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То же старше 70 лет.</w:t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>
        <w:rPr>
          <w:rFonts w:ascii="inherit" w:eastAsia="Times New Roman" w:hAnsi="inherit" w:cs="Arial"/>
          <w:noProof/>
          <w:color w:val="222222"/>
          <w:sz w:val="21"/>
          <w:szCs w:val="21"/>
          <w:lang w:val="ru-RU" w:eastAsia="ru-RU" w:bidi="ar-SA"/>
        </w:rPr>
        <w:lastRenderedPageBreak/>
        <w:drawing>
          <wp:inline distT="0" distB="0" distL="0" distR="0">
            <wp:extent cx="6067425" cy="13477875"/>
            <wp:effectExtent l="19050" t="0" r="9525" b="0"/>
            <wp:docPr id="1" name="Рисунок 1" descr="1-ая ступень Г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-ая ступень ГТО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1347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>
        <w:rPr>
          <w:rFonts w:ascii="inherit" w:eastAsia="Times New Roman" w:hAnsi="inherit" w:cs="Arial"/>
          <w:noProof/>
          <w:color w:val="222222"/>
          <w:sz w:val="21"/>
          <w:szCs w:val="21"/>
          <w:lang w:val="ru-RU" w:eastAsia="ru-RU" w:bidi="ar-SA"/>
        </w:rPr>
        <w:lastRenderedPageBreak/>
        <w:drawing>
          <wp:inline distT="0" distB="0" distL="0" distR="0">
            <wp:extent cx="5972175" cy="14030325"/>
            <wp:effectExtent l="19050" t="0" r="9525" b="0"/>
            <wp:docPr id="2" name="Рисунок 2" descr="таблица нормы ГТО, 2-ая ступ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аблица нормы ГТО, 2-ая ступен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1403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>
        <w:rPr>
          <w:rFonts w:ascii="inherit" w:eastAsia="Times New Roman" w:hAnsi="inherit" w:cs="Arial"/>
          <w:noProof/>
          <w:color w:val="222222"/>
          <w:sz w:val="21"/>
          <w:szCs w:val="21"/>
          <w:lang w:val="ru-RU" w:eastAsia="ru-RU" w:bidi="ar-SA"/>
        </w:rPr>
        <w:lastRenderedPageBreak/>
        <w:drawing>
          <wp:inline distT="0" distB="0" distL="0" distR="0">
            <wp:extent cx="6372225" cy="15687675"/>
            <wp:effectExtent l="19050" t="0" r="9525" b="0"/>
            <wp:docPr id="3" name="Рисунок 3" descr="таблица нормы ГТО, 3-яя ступ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аблица нормы ГТО, 3-яя ступень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1568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>
        <w:rPr>
          <w:rFonts w:ascii="inherit" w:eastAsia="Times New Roman" w:hAnsi="inherit" w:cs="Arial"/>
          <w:noProof/>
          <w:color w:val="222222"/>
          <w:sz w:val="21"/>
          <w:szCs w:val="21"/>
          <w:lang w:val="ru-RU" w:eastAsia="ru-RU" w:bidi="ar-SA"/>
        </w:rPr>
        <w:lastRenderedPageBreak/>
        <w:drawing>
          <wp:inline distT="0" distB="0" distL="0" distR="0">
            <wp:extent cx="6286500" cy="19726275"/>
            <wp:effectExtent l="19050" t="0" r="0" b="0"/>
            <wp:docPr id="4" name="Рисунок 4" descr="таблица нормативов ГТО, 4-ая ступ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аблица нормативов ГТО, 4-ая ступень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1972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>
        <w:rPr>
          <w:rFonts w:ascii="inherit" w:eastAsia="Times New Roman" w:hAnsi="inherit" w:cs="Arial"/>
          <w:noProof/>
          <w:color w:val="222222"/>
          <w:sz w:val="21"/>
          <w:szCs w:val="21"/>
          <w:lang w:val="ru-RU" w:eastAsia="ru-RU" w:bidi="ar-SA"/>
        </w:rPr>
        <w:lastRenderedPageBreak/>
        <w:drawing>
          <wp:inline distT="0" distB="0" distL="0" distR="0">
            <wp:extent cx="6334125" cy="13125450"/>
            <wp:effectExtent l="19050" t="0" r="9525" b="0"/>
            <wp:docPr id="5" name="Рисунок 5" descr="5 ступень ГТО по нормам в таблиц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 ступень ГТО по нормам в таблице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131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>
        <w:rPr>
          <w:rFonts w:ascii="inherit" w:eastAsia="Times New Roman" w:hAnsi="inherit" w:cs="Arial"/>
          <w:noProof/>
          <w:color w:val="222222"/>
          <w:sz w:val="21"/>
          <w:szCs w:val="21"/>
          <w:lang w:val="ru-RU" w:eastAsia="ru-RU" w:bidi="ar-SA"/>
        </w:rPr>
        <w:lastRenderedPageBreak/>
        <w:drawing>
          <wp:inline distT="0" distB="0" distL="0" distR="0">
            <wp:extent cx="5743575" cy="11039475"/>
            <wp:effectExtent l="19050" t="0" r="9525" b="0"/>
            <wp:docPr id="6" name="Рисунок 6" descr="норматив 6 ступени ГТО для мужч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норматив 6 ступени ГТО для мужчин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1103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>
        <w:rPr>
          <w:rFonts w:ascii="inherit" w:eastAsia="Times New Roman" w:hAnsi="inherit" w:cs="Arial"/>
          <w:noProof/>
          <w:color w:val="222222"/>
          <w:sz w:val="21"/>
          <w:szCs w:val="21"/>
          <w:lang w:val="ru-RU" w:eastAsia="ru-RU" w:bidi="ar-SA"/>
        </w:rPr>
        <w:lastRenderedPageBreak/>
        <w:drawing>
          <wp:inline distT="0" distB="0" distL="0" distR="0">
            <wp:extent cx="5743575" cy="11039475"/>
            <wp:effectExtent l="19050" t="0" r="9525" b="0"/>
            <wp:docPr id="7" name="Рисунок 7" descr="таблица нормативов 6 ступени ГТО у женщ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таблица нормативов 6 ступени ГТО у женщин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1103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>
        <w:rPr>
          <w:rFonts w:ascii="inherit" w:eastAsia="Times New Roman" w:hAnsi="inherit" w:cs="Arial"/>
          <w:noProof/>
          <w:color w:val="222222"/>
          <w:sz w:val="21"/>
          <w:szCs w:val="21"/>
          <w:lang w:val="ru-RU" w:eastAsia="ru-RU" w:bidi="ar-SA"/>
        </w:rPr>
        <w:lastRenderedPageBreak/>
        <w:drawing>
          <wp:inline distT="0" distB="0" distL="0" distR="0">
            <wp:extent cx="5734050" cy="11020425"/>
            <wp:effectExtent l="19050" t="0" r="0" b="0"/>
            <wp:docPr id="8" name="Рисунок 8" descr="таблица нормативов 7 ступени ГТО у мужч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таблица нормативов 7 ступени ГТО у мужчин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102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>
        <w:rPr>
          <w:rFonts w:ascii="inherit" w:eastAsia="Times New Roman" w:hAnsi="inherit" w:cs="Arial"/>
          <w:noProof/>
          <w:color w:val="222222"/>
          <w:sz w:val="21"/>
          <w:szCs w:val="21"/>
          <w:lang w:val="ru-RU" w:eastAsia="ru-RU" w:bidi="ar-SA"/>
        </w:rPr>
        <w:lastRenderedPageBreak/>
        <w:drawing>
          <wp:inline distT="0" distB="0" distL="0" distR="0">
            <wp:extent cx="5953125" cy="15325725"/>
            <wp:effectExtent l="19050" t="0" r="9525" b="0"/>
            <wp:docPr id="9" name="Рисунок 9" descr="7-ая ступень ГТО в таблице норматив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7-ая ступень ГТО в таблице нормативов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1532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>
        <w:rPr>
          <w:rFonts w:ascii="inherit" w:eastAsia="Times New Roman" w:hAnsi="inherit" w:cs="Arial"/>
          <w:noProof/>
          <w:color w:val="222222"/>
          <w:sz w:val="21"/>
          <w:szCs w:val="21"/>
          <w:lang w:val="ru-RU" w:eastAsia="ru-RU" w:bidi="ar-SA"/>
        </w:rPr>
        <w:lastRenderedPageBreak/>
        <w:drawing>
          <wp:inline distT="0" distB="0" distL="0" distR="0">
            <wp:extent cx="5972175" cy="12353925"/>
            <wp:effectExtent l="19050" t="0" r="9525" b="0"/>
            <wp:docPr id="10" name="Рисунок 10" descr="таблица нормативов 8-ой ступени Г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таблица нормативов 8-ой ступени ГТО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1235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E6" w:rsidRPr="00105BE6" w:rsidRDefault="0005177E" w:rsidP="00105BE6">
      <w:pPr>
        <w:shd w:val="clear" w:color="auto" w:fill="FFFFFF"/>
        <w:spacing w:before="0" w:after="348" w:line="300" w:lineRule="atLeast"/>
        <w:jc w:val="both"/>
        <w:textAlignment w:val="baseline"/>
        <w:rPr>
          <w:rFonts w:ascii="Arial" w:eastAsia="Times New Roman" w:hAnsi="Arial" w:cs="Arial"/>
          <w:color w:val="222222"/>
          <w:sz w:val="21"/>
          <w:szCs w:val="21"/>
          <w:lang w:val="ru-RU" w:eastAsia="ru-RU" w:bidi="ar-SA"/>
        </w:rPr>
      </w:pPr>
      <w:r w:rsidRPr="0005177E">
        <w:rPr>
          <w:rFonts w:ascii="Arial" w:eastAsia="Times New Roman" w:hAnsi="Arial" w:cs="Arial"/>
          <w:color w:val="222222"/>
          <w:sz w:val="21"/>
          <w:szCs w:val="21"/>
          <w:lang w:val="ru-RU" w:eastAsia="ru-RU" w:bidi="ar-SA"/>
        </w:rPr>
        <w:lastRenderedPageBreak/>
        <w:pict>
          <v:rect id="_x0000_i1025" style="width:397.5pt;height:1.2pt" o:hrpct="0" o:hralign="center" o:hrstd="t" o:hrnoshade="t" o:hr="t" fillcolor="#ddd" stroked="f"/>
        </w:pict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 </w:t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>
        <w:rPr>
          <w:rFonts w:ascii="inherit" w:eastAsia="Times New Roman" w:hAnsi="inherit" w:cs="Arial"/>
          <w:noProof/>
          <w:color w:val="222222"/>
          <w:sz w:val="21"/>
          <w:szCs w:val="21"/>
          <w:lang w:val="ru-RU" w:eastAsia="ru-RU" w:bidi="ar-SA"/>
        </w:rPr>
        <w:lastRenderedPageBreak/>
        <w:drawing>
          <wp:inline distT="0" distB="0" distL="0" distR="0">
            <wp:extent cx="6105525" cy="14792325"/>
            <wp:effectExtent l="19050" t="0" r="9525" b="0"/>
            <wp:docPr id="12" name="Рисунок 12" descr="9 ступень ГТО в таблице для мужчин и женщ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9 ступень ГТО в таблице для мужчин и женщин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1479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>
        <w:rPr>
          <w:rFonts w:ascii="inherit" w:eastAsia="Times New Roman" w:hAnsi="inherit" w:cs="Arial"/>
          <w:noProof/>
          <w:color w:val="222222"/>
          <w:sz w:val="21"/>
          <w:szCs w:val="21"/>
          <w:lang w:val="ru-RU" w:eastAsia="ru-RU" w:bidi="ar-SA"/>
        </w:rPr>
        <w:lastRenderedPageBreak/>
        <w:drawing>
          <wp:inline distT="0" distB="0" distL="0" distR="0">
            <wp:extent cx="5791200" cy="6686550"/>
            <wp:effectExtent l="19050" t="0" r="0" b="0"/>
            <wp:docPr id="13" name="Рисунок 13" descr="таблица результатов 10 ступени Г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таблица результатов 10 ступени ГТО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668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>
        <w:rPr>
          <w:rFonts w:ascii="inherit" w:eastAsia="Times New Roman" w:hAnsi="inherit" w:cs="Arial"/>
          <w:noProof/>
          <w:color w:val="222222"/>
          <w:sz w:val="21"/>
          <w:szCs w:val="21"/>
          <w:lang w:val="ru-RU" w:eastAsia="ru-RU" w:bidi="ar-SA"/>
        </w:rPr>
        <w:lastRenderedPageBreak/>
        <w:drawing>
          <wp:inline distT="0" distB="0" distL="0" distR="0">
            <wp:extent cx="5724525" cy="6391275"/>
            <wp:effectExtent l="19050" t="0" r="9525" b="0"/>
            <wp:docPr id="14" name="Рисунок 14" descr="11 ступень ГТО в таблице нор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1 ступень ГТО в таблице норм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639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Методика внедрения комплекса ГТО включает разработку нормативных документов, выполнение плана мероприятий, разработанных Правительством РФ, создание тестирующих центров, организацию тестирования в соревновательных условиях, моральное и материальное стимулирование выполнивших нормативы ГТО (вручение знаков, учет наличия знака ГТО при поступлении в учебное заведение, назначение повышенной стипендии при наличии золотого знака).</w:t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Нормативы ГТО охватывают 40 видов тестов, но в каждой из 11 ступеней достаточным для получения определенного знака является выполнение 3-8 тестов с правом выбора варианта теста. Например, для получения золотого знака юношей 16-17 лет ему необходимо выполнить шесть обязательных тестов, из которых половина имеет 2-4 варианта, и два из пяти тестов по выбору, часть из которых имеет 2-4 варианта. Для получения серебряного знака в этой категории достаточно выполнить 7 тестов, а бронзового – 6 тестов. Но выбранные тесты для награждения соответствующим знаком должны давать возможность оценить силу, гибкость, быстроту и выносливость тестируемого.</w:t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lastRenderedPageBreak/>
        <w:t>Рекомендации к двигательному режиму устанавливают научно обоснованный минимальный недельный промежуток времени</w:t>
      </w:r>
      <w:proofErr w:type="gramStart"/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.</w:t>
      </w:r>
      <w:proofErr w:type="gramEnd"/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 xml:space="preserve"> </w:t>
      </w:r>
      <w:proofErr w:type="gramStart"/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н</w:t>
      </w:r>
      <w:proofErr w:type="gramEnd"/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еобходимый для выполнения каждого вида занятий физкультурой. Такой подход к тестированию обеспечивает максимальный учет индивидуальных особенностей тестируемого, климатических и этнических особенностей местности его проживания.</w:t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Разработанные Правительством документы учли полувековой опыт развития комплекса ГТО в СССР и внесли в него существенные коррективы в соответствии с современными достижениями физкультуры и спорта, их влияния на физическое состояние человека.</w:t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Идея разработки нормативов ГТО с целью организации массового физкультурного движения, укрепления здоровья населения, его подготовленности к решению задач экономического развития и обеспечения обороноспособности страны впервые была опубликована в «Комсомольской правде» в мае 1930 г.</w:t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Инициатива комсомольцев была поддержана правительством СССР и в марте 1931 г. первый проект комплекса ГТО был утвержден. Он содержал одну ступень из 15 нормативов общедоступных физических упражнений, укрепляющих здоровье и прививающих полезные навыки в повседневной жизни. Популярность введенного комплекса росла в геометрической прогрессии.</w:t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Уже в первом 1931 г. ввода нормативов значком ГТО было награждено 24 тыс. чел. В 1932 г. была принята вторая ступень нормативов, их количество увеличилось до 22, а значки ГТО получили 465 тыс</w:t>
      </w:r>
      <w:proofErr w:type="gramStart"/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.ч</w:t>
      </w:r>
      <w:proofErr w:type="gramEnd"/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ел. В 1933 г. нормы ГТО выполнили 835 тыс. чел. В 1934 году школьники 14-15 лет награждаются значками ГТО за выполнение 16 норм по физкультурной и санитарной подготовке, значками БГТО за проведение занятий и судейство в спортивных играх, всего количество награжденных значками составляет 2,5 млн. чел., а участие в физкультурном движении принимает вдвое больше.</w:t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Начиная с 1935 г., значкисты ГТО становятся призерами международных соревнований, в стране создаются спортивные общества и секции по различным видам спорта на промышленных и аграрных предприятиях, в учебных заведениях.</w:t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В 1937 г. в нескольких видах спорта (легкая и тяжелая атлетика, бокс и борьба, гимнастика, фехтование и стрельба, гимнастика, плавание, конькобежный спорт) введена разрядная система, через 2 года первый, второй и третий спортивные разряды получили более 100 тысяч спортсменов.</w:t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В 1939 г. разработан новый более прогрессивный комплекс БГТО и ГТО с меньшим количеством норм, сочетающий обязательные нормы с нормами по выбору физкультурника, что способствовало развитию спортивной специализации. В новых нормах было 2 ступени («сдано» и «отлично»). Ступень ГТО «отлично» для норм по выбору соответствовала 3-му спортивному разряду. При переходе в следующую старшую возрастную группу производилась повторная сдача норм ГТО в соответствии с установленными нормами для этой группы.</w:t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В годы второй мировой войны миллионам подготовленных комплексом ГТО физкультурников ловкость, сила, выносливость, скорость, навыки метания гранат, стрельбы, преодоления препятствий, умение плавать, бегать на лыжах позволили в кратчайшие сроки стать высококвалифицированными воинами.</w:t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Многолетний перерыв в развитии норм ГТО, обусловленный войной и ликвидацией послевоенной разрухи, привел к необходимости совершенствования системы физической культуры в стране. Поэтому в 1972 г. был введен новый комплекс ГТО, который был направлен на профилактику профессиональных заболеваний, внедрение НОТ, борьбу с алкоголизмом и никотиновой зависимостью, укрепление трудовой дисциплины.</w:t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lastRenderedPageBreak/>
        <w:t>С этой целью было запланировано массовое строительство спортивной инфраструктуры, внедрение в учебные программы образовательных учреждений новых норм ГТО, введена система морального стимулирования за подготовку значкистов ГТО. К реализации комплекса ГТО были привлечены учебные заведения, организации предвоенной подготовки, организованные и добровольные группы физической подготовки, спортивные секции. Сдача нормативов ГТО для молодежи призывного и допризывного возраста являлась обязательной, для остальных возрастных категорий добровольной.</w:t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proofErr w:type="gramStart"/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 xml:space="preserve">По структуре новый комплекс включал 2 ступени БГТО (1-я ступень для учащихся младших классов, 2-я – для 4-8 классов), 2 ступени ГТО (1-я для молодежи от 9 класса до 18 лет, 2-я – от 18 до 27 лет) и добровольный </w:t>
      </w:r>
      <w:proofErr w:type="spellStart"/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многоборный</w:t>
      </w:r>
      <w:proofErr w:type="spellEnd"/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 xml:space="preserve"> комплекс ГТО для возраста от 10 до 60 лет.</w:t>
      </w:r>
      <w:proofErr w:type="gramEnd"/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 xml:space="preserve">Нормативы БГТО и ГТО 1-ой и 2-ой ступени разделялись для мальчиков и девочек (юношей и девушек, мужчин и женщин), а также по требованиям для награждения золотым или серебряным значком БГТО или ГТО. Например, мальчик 1-3 класса для получения золотого значка БГТО 1-ой ступени должен </w:t>
      </w:r>
      <w:proofErr w:type="gramStart"/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был пробежать 60 м за 10 сек</w:t>
      </w:r>
      <w:proofErr w:type="gramEnd"/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., 1000 м за 4,5 мин. и 6 раз подтянуться на высокой перекладине. Кроме этих 3-х нормативов к нему предъявлялись требования: выполнить на «хорошо» гимнастический комплекс на 32 счета, проплыть 50 м и (для снежных районов) пробежать 1 км на лыжах за 7 мин.</w:t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proofErr w:type="spellStart"/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Многоборный</w:t>
      </w:r>
      <w:proofErr w:type="spellEnd"/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 xml:space="preserve"> комплекс ГТО разделялся на зимнее троеборье и летнее многоборье для мальчиков и девочек (юношей и девушек, мужчин и женщин) различных возрастов. Например, зимнее троеборье для мальчиков и девочек в возрасте 10-11 лет включал лыжные гонки на расстояние 1 км, подтягивание на перекладине и стрельбу из пневматической винтовки.</w:t>
      </w:r>
    </w:p>
    <w:p w:rsidR="00105BE6" w:rsidRPr="00105BE6" w:rsidRDefault="00105BE6" w:rsidP="00105BE6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Распад СССР и переход Российской Федерации на рыночные условия повлекли изменения всех сторон жизни страны, в т.ч. развития физкультуры и спорта. В советское время в некоторых видах спорта Россия успешно соревновалась с лидерами профессионального западного спорта (хоккей, футбол, фигурное катание, тяжелая атлетика, гимнастика и др.). Другие виды спорта в СССР вообще не культивировались (профессиональный бокс, борьба без правил и др.). Не практиковалось привлечение в спортивные клубы страны зарубежных звезд и тренеров. К сожалению, совместно с отставанием в некоторых сферах от рыночных стран ликвидировались и те сферы, в которых СССР значительно опережал эти страны. Полувековая история развития комплекса ГТО попала в число этих необдуманно ликвидированных сфер.</w:t>
      </w:r>
    </w:p>
    <w:p w:rsidR="00105BE6" w:rsidRPr="00344553" w:rsidRDefault="00105BE6" w:rsidP="00344553">
      <w:pPr>
        <w:shd w:val="clear" w:color="auto" w:fill="FFFFFF"/>
        <w:spacing w:before="0" w:after="150" w:line="300" w:lineRule="atLeast"/>
        <w:jc w:val="both"/>
        <w:textAlignment w:val="baseline"/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</w:pPr>
      <w:r w:rsidRPr="00105BE6">
        <w:rPr>
          <w:rFonts w:ascii="inherit" w:eastAsia="Times New Roman" w:hAnsi="inherit" w:cs="Arial"/>
          <w:color w:val="222222"/>
          <w:sz w:val="21"/>
          <w:szCs w:val="21"/>
          <w:lang w:val="ru-RU" w:eastAsia="ru-RU" w:bidi="ar-SA"/>
        </w:rPr>
        <w:t>Тщательная и детальная разработка нормативов ГТО, выполненная Правительством РФ 2014 г. в соответствии с медицинскими нормами двигательного режима для каждого возраста, позволит возобновить массовое физкультурное движение в стране, улучшить физическую подготовку и увеличить продолжительность жизни населения.</w:t>
      </w:r>
    </w:p>
    <w:p w:rsidR="00284084" w:rsidRPr="00344553" w:rsidRDefault="00284084">
      <w:pPr>
        <w:rPr>
          <w:lang w:val="ru-RU"/>
        </w:rPr>
      </w:pPr>
    </w:p>
    <w:sectPr w:rsidR="00284084" w:rsidRPr="00344553" w:rsidSect="00284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D666E"/>
    <w:multiLevelType w:val="multilevel"/>
    <w:tmpl w:val="3B603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5BE6"/>
    <w:rsid w:val="0005177E"/>
    <w:rsid w:val="00105BE6"/>
    <w:rsid w:val="00284084"/>
    <w:rsid w:val="00344553"/>
    <w:rsid w:val="008D579B"/>
    <w:rsid w:val="00B64185"/>
    <w:rsid w:val="00D369DA"/>
    <w:rsid w:val="00F35A8F"/>
    <w:rsid w:val="00F46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9DA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369DA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D369DA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69DA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69DA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69DA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69DA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69DA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69DA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69DA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69DA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rsid w:val="00D369DA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D369DA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D369DA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D369DA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D369DA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D369DA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369DA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369DA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369DA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D369DA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369DA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369DA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369DA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D369DA"/>
    <w:rPr>
      <w:b/>
      <w:bCs/>
    </w:rPr>
  </w:style>
  <w:style w:type="character" w:styleId="a9">
    <w:name w:val="Emphasis"/>
    <w:uiPriority w:val="20"/>
    <w:qFormat/>
    <w:rsid w:val="00D369DA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D369DA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D369DA"/>
    <w:rPr>
      <w:sz w:val="20"/>
      <w:szCs w:val="20"/>
    </w:rPr>
  </w:style>
  <w:style w:type="paragraph" w:styleId="ac">
    <w:name w:val="List Paragraph"/>
    <w:basedOn w:val="a"/>
    <w:uiPriority w:val="34"/>
    <w:qFormat/>
    <w:rsid w:val="00D369D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369DA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369DA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D369DA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D369DA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D369DA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D369DA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D369DA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D369DA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D369DA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D369DA"/>
    <w:pPr>
      <w:outlineLvl w:val="9"/>
    </w:pPr>
  </w:style>
  <w:style w:type="character" w:customStyle="1" w:styleId="apple-converted-space">
    <w:name w:val="apple-converted-space"/>
    <w:basedOn w:val="a0"/>
    <w:rsid w:val="00105BE6"/>
  </w:style>
  <w:style w:type="paragraph" w:styleId="af5">
    <w:name w:val="Normal (Web)"/>
    <w:basedOn w:val="a"/>
    <w:uiPriority w:val="99"/>
    <w:semiHidden/>
    <w:unhideWhenUsed/>
    <w:rsid w:val="00105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6">
    <w:name w:val="Hyperlink"/>
    <w:basedOn w:val="a0"/>
    <w:uiPriority w:val="99"/>
    <w:semiHidden/>
    <w:unhideWhenUsed/>
    <w:rsid w:val="00105BE6"/>
    <w:rPr>
      <w:color w:val="0000FF"/>
      <w:u w:val="single"/>
    </w:rPr>
  </w:style>
  <w:style w:type="paragraph" w:styleId="af7">
    <w:name w:val="Balloon Text"/>
    <w:basedOn w:val="a"/>
    <w:link w:val="af8"/>
    <w:uiPriority w:val="99"/>
    <w:semiHidden/>
    <w:unhideWhenUsed/>
    <w:rsid w:val="00105BE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05B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7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1918">
          <w:marLeft w:val="0"/>
          <w:marRight w:val="0"/>
          <w:marTop w:val="0"/>
          <w:marBottom w:val="0"/>
          <w:divBdr>
            <w:top w:val="none" w:sz="0" w:space="1" w:color="auto"/>
            <w:left w:val="none" w:sz="0" w:space="0" w:color="auto"/>
            <w:bottom w:val="single" w:sz="6" w:space="2" w:color="B6B5B5"/>
            <w:right w:val="none" w:sz="0" w:space="0" w:color="auto"/>
          </w:divBdr>
        </w:div>
        <w:div w:id="191242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1319</Words>
  <Characters>7519</Characters>
  <Application>Microsoft Office Word</Application>
  <DocSecurity>0</DocSecurity>
  <Lines>62</Lines>
  <Paragraphs>17</Paragraphs>
  <ScaleCrop>false</ScaleCrop>
  <Company>Microsoft</Company>
  <LinksUpToDate>false</LinksUpToDate>
  <CharactersWithSpaces>8821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 2</cp:lastModifiedBy>
  <cp:revision>2</cp:revision>
  <dcterms:created xsi:type="dcterms:W3CDTF">2015-11-03T08:03:00Z</dcterms:created>
  <dcterms:modified xsi:type="dcterms:W3CDTF">2015-11-03T08:03:00Z</dcterms:modified>
</cp:coreProperties>
</file>